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w:t>
      </w:r>
      <w:r>
        <w:rPr>
          <w:rFonts w:hint="eastAsia" w:eastAsia="宋体" w:cs="Arial"/>
          <w:b/>
          <w:strike w:val="0"/>
          <w:sz w:val="24"/>
          <w:szCs w:val="24"/>
          <w:lang w:val="en-US" w:eastAsia="zh-CN"/>
        </w:rPr>
        <w:t>bis</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12543</w:t>
      </w:r>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Chengdu</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China</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8</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Oct</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Transmitter ON/OFF power (Section 6.5.1)</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contribution [1], some corrections on the </w:t>
      </w:r>
      <w:r>
        <w:rPr>
          <w:rFonts w:hint="eastAsia" w:ascii="Times New Roman" w:hAnsi="Times New Roman" w:eastAsia="宋体" w:cs="Times New Roman"/>
          <w:sz w:val="20"/>
          <w:szCs w:val="20"/>
          <w:lang w:val="en-US" w:eastAsia="zh-CN" w:bidi="ar-SA"/>
        </w:rPr>
        <w:t>measurement time for transmitter OFF power</w:t>
      </w:r>
      <w:r>
        <w:rPr>
          <w:rFonts w:hint="eastAsia" w:ascii="Times New Roman" w:hAnsi="Times New Roman" w:cs="Times New Roman"/>
          <w:sz w:val="20"/>
          <w:szCs w:val="20"/>
          <w:lang w:val="en-US" w:eastAsia="zh-CN" w:bidi="ar-SA"/>
        </w:rPr>
        <w:t xml:space="preserve"> for TS38.104 are given</w:t>
      </w:r>
      <w:bookmarkStart w:id="26" w:name="_GoBack"/>
      <w:bookmarkEnd w:id="26"/>
      <w:r>
        <w:rPr>
          <w:rFonts w:hint="eastAsia" w:ascii="Times New Roman" w:hAnsi="Times New Roman" w:cs="Times New Roman"/>
          <w:sz w:val="20"/>
          <w:szCs w:val="20"/>
          <w:lang w:val="en-US" w:eastAsia="zh-CN"/>
        </w:rPr>
        <w:t>, and the intention for this TP for TS38.141-2[2] is to align with the corrections in [1]. In addition, the step of multi-band testing is deleted for BS type 2-O since it is no need to consider multi-band operation for FR2.</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 xml:space="preserve">[1] R4-1812537, </w:t>
      </w:r>
      <w:r>
        <w:rPr>
          <w:rFonts w:hint="eastAsia" w:eastAsia="宋体"/>
          <w:lang w:val="en-US" w:eastAsia="zh-CN"/>
        </w:rPr>
        <w:t xml:space="preserve">Draft CR to </w:t>
      </w:r>
      <w:r>
        <w:t>TS 38.104</w:t>
      </w:r>
      <w:r>
        <w:rPr>
          <w:rFonts w:hint="eastAsia" w:eastAsia="宋体"/>
          <w:lang w:val="en-US" w:eastAsia="zh-CN"/>
        </w:rPr>
        <w:t>:</w:t>
      </w:r>
      <w:bookmarkStart w:id="3" w:name="OLE_LINK5"/>
      <w:r>
        <w:rPr>
          <w:rFonts w:hint="eastAsia"/>
          <w:lang w:val="en-US" w:eastAsia="zh-CN"/>
        </w:rPr>
        <w:t xml:space="preserve"> </w:t>
      </w:r>
      <w:bookmarkEnd w:id="3"/>
      <w:r>
        <w:rPr>
          <w:rFonts w:hint="eastAsia"/>
        </w:rPr>
        <w:t>Transmitter OFF power</w:t>
      </w:r>
      <w:r>
        <w:rPr>
          <w:rFonts w:hint="eastAsia"/>
          <w:lang w:val="en-US" w:eastAsia="zh-CN"/>
        </w:rPr>
        <w:t xml:space="preserve"> </w:t>
      </w:r>
      <w:r>
        <w:t>for CA</w:t>
      </w:r>
      <w:r>
        <w:rPr>
          <w:rFonts w:hint="eastAsia"/>
          <w:lang w:val="en-US" w:eastAsia="zh-CN"/>
        </w:rPr>
        <w:t xml:space="preserve"> (Section 6.4.1), ZTE Corporation</w:t>
      </w:r>
    </w:p>
    <w:p>
      <w:pPr>
        <w:rPr>
          <w:rFonts w:hint="eastAsia"/>
          <w:lang w:val="en-US" w:eastAsia="zh-CN"/>
        </w:rPr>
      </w:pPr>
      <w:r>
        <w:rPr>
          <w:rFonts w:hint="eastAsia"/>
          <w:lang w:val="en-US" w:eastAsia="zh-CN"/>
        </w:rPr>
        <w:t>[2] TS38.141-2, v1.0.0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4" w:name="_Toc481653320"/>
      <w:bookmarkStart w:id="5" w:name="_Toc523481319"/>
      <w:r>
        <w:t>6.5</w:t>
      </w:r>
      <w:r>
        <w:tab/>
      </w:r>
      <w:r>
        <w:t>OTA transmit ON/OFF power</w:t>
      </w:r>
      <w:bookmarkEnd w:id="4"/>
      <w:bookmarkEnd w:id="5"/>
    </w:p>
    <w:p>
      <w:pPr>
        <w:pStyle w:val="4"/>
      </w:pPr>
      <w:bookmarkStart w:id="6" w:name="_Toc510693959"/>
      <w:bookmarkStart w:id="7" w:name="_Toc523481320"/>
      <w:r>
        <w:t>6.5.1</w:t>
      </w:r>
      <w:r>
        <w:tab/>
      </w:r>
      <w:r>
        <w:t>OTA transmitter OFF power</w:t>
      </w:r>
      <w:bookmarkEnd w:id="6"/>
      <w:bookmarkEnd w:id="7"/>
    </w:p>
    <w:p>
      <w:pPr>
        <w:pStyle w:val="5"/>
      </w:pPr>
      <w:bookmarkStart w:id="8" w:name="_Toc523481321"/>
      <w:bookmarkStart w:id="9" w:name="_Toc494455234"/>
      <w:r>
        <w:t>6.5.1.1</w:t>
      </w:r>
      <w:r>
        <w:tab/>
      </w:r>
      <w:r>
        <w:t>Definition and applicability</w:t>
      </w:r>
      <w:bookmarkEnd w:id="8"/>
      <w:bookmarkEnd w:id="9"/>
    </w:p>
    <w:p>
      <w:bookmarkStart w:id="10" w:name="_Toc494455235"/>
      <w:r>
        <w:t>OTA transmitter OFF power requirements apply only to TDD operation of NR BS.</w:t>
      </w:r>
    </w:p>
    <w:p>
      <w:r>
        <w:t>OTA transmitter OFF power is defined as the mean power measured over 70/N</w:t>
      </w:r>
      <w:r>
        <w:rPr>
          <w:rFonts w:eastAsia="宋体"/>
        </w:rPr>
        <w:t>µ</w:t>
      </w:r>
      <w:r>
        <w:t>s filtered with a square filter of bandwidth equal to the transmission bandwidth configuration of the BS (BW</w:t>
      </w:r>
      <w:r>
        <w:rPr>
          <w:vertAlign w:val="subscript"/>
        </w:rPr>
        <w:t>Config</w:t>
      </w:r>
      <w:r>
        <w:t xml:space="preserve">) centred on the assigned channel frequency during the </w:t>
      </w:r>
      <w:r>
        <w:rPr>
          <w:i/>
        </w:rPr>
        <w:t>transmitter OFF period</w:t>
      </w:r>
      <w:r>
        <w:t>. N = SCS/15, where SCS is Sub Carrier Spacing in kHz.</w:t>
      </w:r>
    </w:p>
    <w:p>
      <w:r>
        <w:rPr>
          <w:rFonts w:eastAsia="宋体"/>
        </w:rPr>
        <w:t xml:space="preserve">For BS supporting </w:t>
      </w:r>
      <w:r>
        <w:t xml:space="preserve">intra-band </w:t>
      </w:r>
      <w:r>
        <w:rPr>
          <w:rFonts w:eastAsia="宋体"/>
        </w:rPr>
        <w:t>contiguous CA, the transmitter OFF power is defined as the mean power measured over 70</w:t>
      </w:r>
      <w:r>
        <w:rPr>
          <w:rFonts w:hint="eastAsia" w:eastAsia="宋体"/>
          <w:lang w:val="en-US" w:eastAsia="zh-CN"/>
        </w:rPr>
        <w:t>/N</w:t>
      </w:r>
      <w:r>
        <w:rPr>
          <w:rFonts w:eastAsia="宋体"/>
          <w:lang w:val="en-US" w:eastAsia="zh-CN"/>
        </w:rPr>
        <w:t xml:space="preserve"> </w:t>
      </w:r>
      <w:r>
        <w:rPr>
          <w:rFonts w:eastAsia="宋体"/>
        </w:rPr>
        <w:t xml:space="preserve">µs filtered with a square filter of bandwidth equal to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w:t>
      </w:r>
      <w:r>
        <w:rPr>
          <w:bCs/>
        </w:rPr>
        <w:t>BW</w:t>
      </w:r>
      <w:r>
        <w:rPr>
          <w:bCs/>
          <w:vertAlign w:val="subscript"/>
        </w:rPr>
        <w:t>Channel_CA</w:t>
      </w:r>
      <w:r>
        <w:rPr>
          <w:rFonts w:eastAsia="宋体"/>
          <w:bCs/>
        </w:rPr>
        <w:t xml:space="preserve"> centred on (F</w:t>
      </w:r>
      <w:r>
        <w:rPr>
          <w:rFonts w:eastAsia="宋体"/>
          <w:bCs/>
          <w:vertAlign w:val="subscript"/>
        </w:rPr>
        <w:t>edge_high</w:t>
      </w:r>
      <w:r>
        <w:rPr>
          <w:rFonts w:eastAsia="宋体"/>
          <w:bCs/>
        </w:rPr>
        <w:t>+F</w:t>
      </w:r>
      <w:r>
        <w:rPr>
          <w:rFonts w:eastAsia="宋体"/>
          <w:bCs/>
          <w:vertAlign w:val="subscript"/>
        </w:rPr>
        <w:t>edge_low</w:t>
      </w:r>
      <w:r>
        <w:rPr>
          <w:rFonts w:eastAsia="宋体"/>
          <w:bCs/>
        </w:rPr>
        <w:t xml:space="preserve">)/2 during the </w:t>
      </w:r>
      <w:r>
        <w:rPr>
          <w:rFonts w:eastAsia="宋体"/>
          <w:bCs/>
          <w:i/>
          <w:iCs/>
        </w:rPr>
        <w:t>transmitter OFF period</w:t>
      </w:r>
      <w:r>
        <w:rPr>
          <w:rFonts w:eastAsia="宋体"/>
          <w:bCs/>
        </w:rPr>
        <w:t>.</w:t>
      </w:r>
      <w:r>
        <w:rPr>
          <w:rFonts w:hint="eastAsia" w:eastAsia="宋体"/>
          <w:bCs/>
          <w:lang w:val="en-US" w:eastAsia="zh-CN"/>
        </w:rPr>
        <w:t xml:space="preserve"> </w:t>
      </w:r>
      <w:ins w:id="0" w:author="ZTE" w:date="2018-09-27T10:23:28Z">
        <w:r>
          <w:rPr/>
          <w:t xml:space="preserve">N = SCS/15, where SCS is </w:t>
        </w:r>
      </w:ins>
      <w:ins w:id="1" w:author="ZTE" w:date="2018-09-27T10:23:28Z">
        <w:r>
          <w:rPr>
            <w:rFonts w:hint="eastAsia"/>
            <w:lang w:val="en-US" w:eastAsia="zh-CN"/>
          </w:rPr>
          <w:t xml:space="preserve">the smallest </w:t>
        </w:r>
      </w:ins>
      <w:ins w:id="2" w:author="ZTE" w:date="2018-09-27T10:23:28Z">
        <w:r>
          <w:rPr/>
          <w:t>Sub Carrier Spacing in kHz</w:t>
        </w:r>
      </w:ins>
      <w:ins w:id="3" w:author="ZTE" w:date="2018-09-27T10:23:28Z">
        <w:r>
          <w:rPr>
            <w:rFonts w:hint="eastAsia"/>
            <w:lang w:val="en-US" w:eastAsia="zh-CN"/>
          </w:rPr>
          <w:t xml:space="preserve"> used in the </w:t>
        </w:r>
      </w:ins>
      <w:ins w:id="4" w:author="ZTE" w:date="2018-09-27T10:23:28Z">
        <w:r>
          <w:rPr>
            <w:rFonts w:eastAsia="宋体"/>
            <w:i/>
            <w:iCs/>
          </w:rPr>
          <w:t xml:space="preserve">Aggregated </w:t>
        </w:r>
      </w:ins>
      <w:ins w:id="5" w:author="ZTE" w:date="2018-09-27T10:23:28Z">
        <w:r>
          <w:rPr>
            <w:rFonts w:hint="eastAsia" w:eastAsia="宋体"/>
            <w:i/>
            <w:iCs/>
            <w:lang w:val="en-US" w:eastAsia="zh-CN"/>
          </w:rPr>
          <w:t xml:space="preserve">BS </w:t>
        </w:r>
      </w:ins>
      <w:ins w:id="6" w:author="ZTE" w:date="2018-09-27T10:23:28Z">
        <w:r>
          <w:rPr>
            <w:rFonts w:eastAsia="宋体"/>
            <w:i/>
            <w:iCs/>
          </w:rPr>
          <w:t>Channel Bandwidth</w:t>
        </w:r>
      </w:ins>
      <w:ins w:id="7" w:author="ZTE" w:date="2018-09-27T10:23:28Z">
        <w:r>
          <w:rPr/>
          <w:t xml:space="preserve">. </w:t>
        </w:r>
      </w:ins>
    </w:p>
    <w:p>
      <w:r>
        <w:t xml:space="preserve">For </w:t>
      </w:r>
      <w:r>
        <w:rPr>
          <w:i/>
        </w:rPr>
        <w:t>BS type 1-O</w:t>
      </w:r>
      <w:r>
        <w:t xml:space="preserve">, the transmitter OFF power is defined as the output power at the </w:t>
      </w:r>
      <w:r>
        <w:rPr>
          <w:i/>
        </w:rPr>
        <w:t>co-location test antenna</w:t>
      </w:r>
      <w:r>
        <w:rPr>
          <w:lang w:eastAsia="zh-CN"/>
        </w:rPr>
        <w:t xml:space="preserve"> conducted output(s)</w:t>
      </w:r>
      <w:r>
        <w:t xml:space="preserve">. For </w:t>
      </w:r>
      <w:r>
        <w:rPr>
          <w:i/>
        </w:rPr>
        <w:t>BS type 2-O</w:t>
      </w:r>
      <w:r>
        <w:t xml:space="preserve"> the transmitter OFF power is defined as TRP.</w:t>
      </w:r>
    </w:p>
    <w:p>
      <w:pPr>
        <w:rPr>
          <w:lang w:eastAsia="zh-CN"/>
        </w:rPr>
      </w:pPr>
      <w:r>
        <w:t xml:space="preserve">For </w:t>
      </w:r>
      <w:r>
        <w:rPr>
          <w:i/>
        </w:rPr>
        <w:t xml:space="preserve">multi-band </w:t>
      </w:r>
      <w:r>
        <w:rPr>
          <w:i/>
          <w:lang w:eastAsia="zh-CN"/>
        </w:rPr>
        <w:t>co-location test antenna</w:t>
      </w:r>
      <w:r>
        <w:rPr>
          <w:rFonts w:hint="eastAsia"/>
          <w:lang w:eastAsia="zh-CN"/>
        </w:rPr>
        <w:t xml:space="preserve"> conducted output(s)</w:t>
      </w:r>
      <w:r>
        <w:t>,</w:t>
      </w:r>
      <w:r>
        <w:rPr>
          <w:rFonts w:hint="eastAsia"/>
          <w:lang w:eastAsia="zh-CN"/>
        </w:rPr>
        <w:t xml:space="preserve"> </w:t>
      </w:r>
      <w:r>
        <w:t xml:space="preserve">the requirement is only applicable during the </w:t>
      </w:r>
      <w:r>
        <w:rPr>
          <w:i/>
        </w:rPr>
        <w:t>transmitter OFF period</w:t>
      </w:r>
      <w:r>
        <w:t xml:space="preserve"> in all supported operating bands.</w:t>
      </w:r>
    </w:p>
    <w:p>
      <w:pPr>
        <w:rPr>
          <w:rFonts w:eastAsia="宋体"/>
          <w:lang w:eastAsia="zh-CN"/>
        </w:rPr>
      </w:pPr>
      <w:r>
        <w:t xml:space="preserve">For </w:t>
      </w:r>
      <w:r>
        <w:rPr>
          <w:i/>
        </w:rPr>
        <w:t>single band</w:t>
      </w:r>
      <w:r>
        <w:t xml:space="preserve"> </w:t>
      </w:r>
      <w:r>
        <w:rPr>
          <w:i/>
          <w:lang w:eastAsia="zh-CN"/>
        </w:rPr>
        <w:t>co-location test antenna</w:t>
      </w:r>
      <w:r>
        <w:rPr>
          <w:rFonts w:hint="eastAsia"/>
          <w:lang w:eastAsia="zh-CN"/>
        </w:rPr>
        <w:t xml:space="preserve"> conducted output(s)</w:t>
      </w:r>
      <w:r>
        <w:rPr>
          <w:i/>
        </w:rPr>
        <w:t xml:space="preserve"> </w:t>
      </w:r>
      <w:r>
        <w:t>supporting transmission in multiple operating bands, the requirement is applicable per supported operating band.</w:t>
      </w:r>
    </w:p>
    <w:p>
      <w:r>
        <w:t xml:space="preserve">For </w:t>
      </w:r>
      <w:r>
        <w:rPr>
          <w:i/>
        </w:rPr>
        <w:t>multi-band</w:t>
      </w:r>
      <w:r>
        <w:t xml:space="preserve"> </w:t>
      </w:r>
      <w:r>
        <w:rPr>
          <w:i/>
        </w:rPr>
        <w:t>RIBs</w:t>
      </w:r>
      <w:r>
        <w:t xml:space="preserve">, the requirement is only applicable during the </w:t>
      </w:r>
      <w:r>
        <w:rPr>
          <w:i/>
        </w:rPr>
        <w:t>transmitter OFF period</w:t>
      </w:r>
      <w:r>
        <w:t xml:space="preserve"> in all supported </w:t>
      </w:r>
      <w:r>
        <w:rPr>
          <w:i/>
        </w:rPr>
        <w:t>operating bands</w:t>
      </w:r>
      <w:r>
        <w:t>.</w:t>
      </w:r>
    </w:p>
    <w:p>
      <w:pPr>
        <w:rPr>
          <w:rFonts w:eastAsia="宋体"/>
          <w:lang w:eastAsia="zh-CN"/>
        </w:rPr>
      </w:pPr>
      <w:r>
        <w:t xml:space="preserve">For </w:t>
      </w:r>
      <w:r>
        <w:rPr>
          <w:i/>
        </w:rPr>
        <w:t>single band</w:t>
      </w:r>
      <w:r>
        <w:t xml:space="preserve"> </w:t>
      </w:r>
      <w:r>
        <w:rPr>
          <w:i/>
          <w:lang w:eastAsia="zh-CN"/>
        </w:rPr>
        <w:t>RIBs</w:t>
      </w:r>
      <w:r>
        <w:rPr>
          <w:i/>
        </w:rPr>
        <w:t xml:space="preserve"> </w:t>
      </w:r>
      <w:r>
        <w:t>supporting transmission in multiple operating bands, the requirement is applicable per supported operating band.</w:t>
      </w:r>
    </w:p>
    <w:p>
      <w:pPr>
        <w:pStyle w:val="5"/>
      </w:pPr>
      <w:bookmarkStart w:id="11" w:name="_Toc523481322"/>
      <w:r>
        <w:t>6.5.1.2</w:t>
      </w:r>
      <w:r>
        <w:tab/>
      </w:r>
      <w:r>
        <w:t>Minimum requirement</w:t>
      </w:r>
      <w:bookmarkEnd w:id="10"/>
      <w:bookmarkEnd w:id="11"/>
    </w:p>
    <w:p>
      <w:bookmarkStart w:id="12" w:name="_Toc494455236"/>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9.5.2.3.</w:t>
      </w:r>
    </w:p>
    <w:p>
      <w:pPr>
        <w:pStyle w:val="5"/>
      </w:pPr>
      <w:bookmarkStart w:id="13" w:name="_Toc523481323"/>
      <w:r>
        <w:t>6.5.1.3</w:t>
      </w:r>
      <w:r>
        <w:tab/>
      </w:r>
      <w:r>
        <w:t>Test purpose</w:t>
      </w:r>
      <w:bookmarkEnd w:id="12"/>
      <w:bookmarkEnd w:id="13"/>
    </w:p>
    <w:p>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pPr>
        <w:pStyle w:val="5"/>
      </w:pPr>
      <w:bookmarkStart w:id="14" w:name="_Toc494455237"/>
      <w:bookmarkStart w:id="15" w:name="_Toc523481324"/>
      <w:r>
        <w:t>6.5.1.4</w:t>
      </w:r>
      <w:r>
        <w:tab/>
      </w:r>
      <w:r>
        <w:t>Method of test</w:t>
      </w:r>
      <w:bookmarkEnd w:id="14"/>
      <w:bookmarkEnd w:id="15"/>
      <w:r>
        <w:t xml:space="preserve"> </w:t>
      </w:r>
    </w:p>
    <w:p>
      <w:pPr>
        <w:pStyle w:val="6"/>
      </w:pPr>
      <w:bookmarkStart w:id="16" w:name="_Toc523481325"/>
      <w:bookmarkStart w:id="17" w:name="_Toc494455238"/>
      <w:r>
        <w:t>6.5.1.4.1</w:t>
      </w:r>
      <w:r>
        <w:tab/>
      </w:r>
      <w:r>
        <w:t>Initial conditions</w:t>
      </w:r>
      <w:bookmarkEnd w:id="16"/>
      <w:bookmarkEnd w:id="17"/>
    </w:p>
    <w:p>
      <w:r>
        <w:t>Test environment: Normal; see annex B.2.</w:t>
      </w:r>
    </w:p>
    <w:p>
      <w:r>
        <w:t>RF channels to be tested: M; see subclause 4.9.1.</w:t>
      </w:r>
    </w:p>
    <w:p>
      <w:pPr>
        <w:rPr>
          <w:rFonts w:cs="v4.2.0"/>
        </w:rPr>
      </w:pPr>
      <w:r>
        <w:t xml:space="preserve">Base Station RF Bandwidth positions </w:t>
      </w:r>
      <w:r>
        <w:rPr>
          <w:rFonts w:cs="v4.2.0"/>
        </w:rPr>
        <w:t>to be tested:</w:t>
      </w:r>
    </w:p>
    <w:p>
      <w:pPr>
        <w:pStyle w:val="48"/>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p>
    <w:p>
      <w:pPr>
        <w:pStyle w:val="48"/>
        <w:rPr>
          <w:lang w:eastAsia="zh-CN"/>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pPr>
        <w:pStyle w:val="6"/>
      </w:pPr>
      <w:bookmarkStart w:id="18" w:name="_Toc523481326"/>
      <w:bookmarkStart w:id="19" w:name="_Toc494455239"/>
      <w:r>
        <w:t>6.5.1.4.2</w:t>
      </w:r>
      <w:r>
        <w:tab/>
      </w:r>
      <w:r>
        <w:t>Procedure</w:t>
      </w:r>
      <w:bookmarkEnd w:id="18"/>
      <w:bookmarkEnd w:id="19"/>
    </w:p>
    <w:p>
      <w:pPr>
        <w:pStyle w:val="6"/>
      </w:pPr>
      <w:bookmarkStart w:id="20" w:name="_Toc523481327"/>
      <w:r>
        <w:t>6.5.1.4.2.1</w:t>
      </w:r>
      <w:r>
        <w:tab/>
      </w:r>
      <w:r>
        <w:t>General procedure</w:t>
      </w:r>
      <w:bookmarkEnd w:id="20"/>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48"/>
      </w:pPr>
      <w:r>
        <w:t>1)</w:t>
      </w:r>
      <w:r>
        <w:tab/>
      </w:r>
      <w:r>
        <w:t>Place the BS at the positioner.</w:t>
      </w:r>
    </w:p>
    <w:p>
      <w:pPr>
        <w:pStyle w:val="48"/>
      </w:pPr>
      <w:r>
        <w:t>2)</w:t>
      </w:r>
      <w:r>
        <w:tab/>
      </w:r>
      <w:r>
        <w:t>Align the manufacturer declared coordinate system orientation (</w:t>
      </w:r>
      <w:r>
        <w:rPr>
          <w:highlight w:val="yellow"/>
        </w:rPr>
        <w:t>Dx.y</w:t>
      </w:r>
      <w:r>
        <w:t>) of the BS with the test system.</w:t>
      </w:r>
    </w:p>
    <w:p>
      <w:pPr>
        <w:pStyle w:val="48"/>
      </w:pPr>
      <w:r>
        <w:t>3)</w:t>
      </w:r>
      <w:r>
        <w:tab/>
      </w:r>
      <w:r>
        <w:t xml:space="preserve">Set the BS in the direction of the declared </w:t>
      </w:r>
      <w:r>
        <w:rPr>
          <w:i/>
        </w:rPr>
        <w:t>beam peak direction</w:t>
      </w:r>
      <w:r>
        <w:t xml:space="preserve"> of the</w:t>
      </w:r>
      <w:r>
        <w:rPr>
          <w:i/>
        </w:rPr>
        <w:t xml:space="preserve"> beam direction pair</w:t>
      </w:r>
      <w:r>
        <w:t>, for the beam to be tested.</w:t>
      </w:r>
    </w:p>
    <w:p>
      <w:pPr>
        <w:pStyle w:val="6"/>
      </w:pPr>
      <w:bookmarkStart w:id="21" w:name="_Toc523481328"/>
      <w:r>
        <w:t>6.5.1.4.2.2</w:t>
      </w:r>
      <w:r>
        <w:tab/>
      </w:r>
      <w:r>
        <w:rPr>
          <w:i/>
        </w:rPr>
        <w:t>BS type 1-O</w:t>
      </w:r>
      <w:bookmarkEnd w:id="21"/>
    </w:p>
    <w:p>
      <w:pPr>
        <w:pStyle w:val="48"/>
      </w:pPr>
      <w:r>
        <w:t>4)</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48"/>
      </w:pPr>
      <w:r>
        <w:t>5)</w:t>
      </w:r>
      <w:r>
        <w:tab/>
      </w:r>
      <w:r>
        <w:t>Configure the beam peak direction of the BS according to the declared beam direction pair.</w:t>
      </w:r>
    </w:p>
    <w:p>
      <w:pPr>
        <w:pStyle w:val="48"/>
      </w:pPr>
      <w:r>
        <w:rPr>
          <w:snapToGrid w:val="0"/>
        </w:rPr>
        <w:t>6)</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4.8</w:t>
      </w:r>
      <w:r>
        <w:t xml:space="preserve"> using the corresponding test models or set of physical channels in subclause 4.9.3. </w:t>
      </w:r>
    </w:p>
    <w:p>
      <w:pPr>
        <w:pStyle w:val="48"/>
      </w:pPr>
      <w:r>
        <w:rPr>
          <w:snapToGrid w:val="0"/>
        </w:rPr>
        <w:t>7)</w:t>
      </w:r>
      <w:r>
        <w:rPr>
          <w:snapToGrid w:val="0"/>
        </w:rPr>
        <w:tab/>
      </w:r>
      <w:r>
        <w:rPr>
          <w:snapToGrid w:val="0"/>
        </w:rPr>
        <w:t xml:space="preserve">Measure the mean power spectrum density measured 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48"/>
      </w:pPr>
      <w:r>
        <w:rPr>
          <w:snapToGrid w:val="0"/>
        </w:rPr>
        <w:t>8)</w:t>
      </w:r>
      <w:r>
        <w:rPr>
          <w:snapToGrid w:val="0"/>
        </w:rPr>
        <w:tab/>
      </w:r>
      <w:r>
        <w:rPr>
          <w:snapToGrid w:val="0"/>
        </w:rPr>
        <w:t>For an NR BS supporting contiguous CA, measure the mean power spectral density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8" w:author="ZTE" w:date="2018-09-27T13:53:25Z">
        <w:r>
          <w:rPr>
            <w:rFonts w:hint="eastAsia"/>
            <w:snapToGrid w:val="0"/>
            <w:lang w:val="en-US" w:eastAsia="zh-CN"/>
          </w:rPr>
          <w:t xml:space="preserve"> </w:t>
        </w:r>
      </w:ins>
      <w:ins w:id="9" w:author="ZTE" w:date="2018-09-27T13:53:23Z">
        <w:r>
          <w:rPr/>
          <w:t xml:space="preserve">N = SCS/15, where SCS is </w:t>
        </w:r>
      </w:ins>
      <w:ins w:id="10" w:author="ZTE" w:date="2018-09-27T13:53:23Z">
        <w:r>
          <w:rPr>
            <w:rFonts w:hint="eastAsia"/>
            <w:lang w:val="en-US" w:eastAsia="zh-CN"/>
          </w:rPr>
          <w:t xml:space="preserve">the smallest </w:t>
        </w:r>
      </w:ins>
      <w:ins w:id="11" w:author="ZTE" w:date="2018-09-27T13:53:23Z">
        <w:r>
          <w:rPr/>
          <w:t>Sub Carrier Spacing in kHz</w:t>
        </w:r>
      </w:ins>
      <w:ins w:id="12" w:author="ZTE" w:date="2018-09-27T13:53:23Z">
        <w:r>
          <w:rPr>
            <w:rFonts w:hint="eastAsia"/>
            <w:lang w:val="en-US" w:eastAsia="zh-CN"/>
          </w:rPr>
          <w:t xml:space="preserve"> used in the </w:t>
        </w:r>
      </w:ins>
      <w:ins w:id="13" w:author="ZTE" w:date="2018-09-27T13:53:23Z">
        <w:r>
          <w:rPr>
            <w:rFonts w:eastAsia="宋体"/>
            <w:i/>
            <w:iCs/>
          </w:rPr>
          <w:t xml:space="preserve">Aggregated </w:t>
        </w:r>
      </w:ins>
      <w:ins w:id="14" w:author="ZTE" w:date="2018-09-27T13:53:23Z">
        <w:r>
          <w:rPr>
            <w:rFonts w:hint="eastAsia" w:eastAsia="宋体"/>
            <w:i/>
            <w:iCs/>
            <w:lang w:val="en-US" w:eastAsia="zh-CN"/>
          </w:rPr>
          <w:t xml:space="preserve">BS </w:t>
        </w:r>
      </w:ins>
      <w:ins w:id="15" w:author="ZTE" w:date="2018-09-27T13:53:23Z">
        <w:r>
          <w:rPr>
            <w:rFonts w:eastAsia="宋体"/>
            <w:i/>
            <w:iCs/>
          </w:rPr>
          <w:t>Channel Bandwidth</w:t>
        </w:r>
      </w:ins>
      <w:ins w:id="16" w:author="ZTE" w:date="2018-09-27T13:53:23Z">
        <w:r>
          <w:rPr/>
          <w:t xml:space="preserve">. </w:t>
        </w:r>
      </w:ins>
    </w:p>
    <w:p>
      <w:r>
        <w:t xml:space="preserve">In addition, for </w:t>
      </w:r>
      <w:r>
        <w:rPr>
          <w:snapToGrid w:val="0"/>
        </w:rPr>
        <w:t xml:space="preserve">a </w:t>
      </w:r>
      <w:r>
        <w:rPr>
          <w:i/>
          <w:snapToGrid w:val="0"/>
        </w:rPr>
        <w:t>multi-band RIB</w:t>
      </w:r>
      <w:r>
        <w:t>, the following steps shall apply:</w:t>
      </w:r>
    </w:p>
    <w:p>
      <w:pPr>
        <w:pStyle w:val="48"/>
      </w:pPr>
      <w:r>
        <w:t>9)</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6"/>
      </w:pPr>
      <w:bookmarkStart w:id="22" w:name="_Toc523481329"/>
      <w:r>
        <w:t>6.5.1.4.2.2</w:t>
      </w:r>
      <w:r>
        <w:tab/>
      </w:r>
      <w:r>
        <w:rPr>
          <w:i/>
        </w:rPr>
        <w:t>BS type 2-O</w:t>
      </w:r>
      <w:bookmarkEnd w:id="22"/>
    </w:p>
    <w:p>
      <w:pPr>
        <w:pStyle w:val="48"/>
      </w:pPr>
      <w:r>
        <w:rPr>
          <w:lang w:eastAsia="ja-JP"/>
        </w:rPr>
        <w:t>[</w:t>
      </w:r>
      <w:r>
        <w:t>4)</w:t>
      </w:r>
      <w:r>
        <w:tab/>
      </w:r>
      <w:r>
        <w:t>Configure the beam peak direction of the NR BS according to the declared beam direction pair.</w:t>
      </w:r>
    </w:p>
    <w:p>
      <w:pPr>
        <w:pStyle w:val="48"/>
      </w:pPr>
      <w:r>
        <w:rPr>
          <w:snapToGrid w:val="0"/>
        </w:rPr>
        <w:t>5)</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4.8</w:t>
      </w:r>
      <w:r>
        <w:t xml:space="preserve"> using the corresponding test models or set of physical channels in subclause 4.9.</w:t>
      </w:r>
    </w:p>
    <w:p>
      <w:pPr>
        <w:pStyle w:val="48"/>
      </w:pPr>
      <w:r>
        <w:tab/>
      </w:r>
      <w:r>
        <w:t>In addition, for an NR BS declared to be capable of multi-carrier and/or CA operation use the applicable test signal configuration and corresponding power setting specified in subclause 4.7.3.</w:t>
      </w:r>
    </w:p>
    <w:p>
      <w:pPr>
        <w:pStyle w:val="48"/>
      </w:pPr>
      <w:r>
        <w:t>6)</w:t>
      </w:r>
      <w:r>
        <w:tab/>
      </w:r>
      <w:r>
        <w:t xml:space="preserve">Set the NR BS in the direction of the appropriated TRP measurement grid (see annex </w:t>
      </w:r>
      <w:r>
        <w:rPr>
          <w:highlight w:val="yellow"/>
        </w:rPr>
        <w:t>xx</w:t>
      </w:r>
      <w:r>
        <w:t>).</w:t>
      </w:r>
    </w:p>
    <w:p>
      <w:pPr>
        <w:pStyle w:val="48"/>
      </w:pPr>
      <w:r>
        <w:rPr>
          <w:snapToGrid w:val="0"/>
        </w:rPr>
        <w:t>7)</w:t>
      </w:r>
      <w:r>
        <w:rPr>
          <w:snapToGrid w:val="0"/>
        </w:rPr>
        <w:tab/>
      </w:r>
      <w:r>
        <w:rPr>
          <w:snapToGrid w:val="0"/>
        </w:rPr>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t>N = SCS/15, where SCS is Sub Carrier Spacing in kHz.</w:t>
      </w:r>
    </w:p>
    <w:p>
      <w:pPr>
        <w:pStyle w:val="59"/>
      </w:pPr>
      <w:r>
        <w:t>a)</w:t>
      </w:r>
      <w:r>
        <w:tab/>
      </w:r>
      <w:r>
        <w:t>If the test facility only supports single polarization, then measure EIRP with the test facility's test antenna/probe polarization matched to the NR BS.</w:t>
      </w:r>
    </w:p>
    <w:p>
      <w:pPr>
        <w:pStyle w:val="59"/>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48"/>
        <w:rPr>
          <w:del w:id="17" w:author="ZTE" w:date="2018-09-27T13:54:17Z"/>
          <w:rFonts w:hint="eastAsia"/>
          <w:lang w:val="en-US" w:eastAsia="zh-CN"/>
        </w:rPr>
      </w:pPr>
      <w:r>
        <w:rPr>
          <w:snapToGrid w:val="0"/>
        </w:rPr>
        <w:t>8)</w:t>
      </w:r>
      <w:r>
        <w:rPr>
          <w:snapToGrid w:val="0"/>
        </w:rPr>
        <w:tab/>
      </w:r>
      <w:r>
        <w:rPr>
          <w:snapToGrid w:val="0"/>
        </w:rPr>
        <w:t>For an NR BS supporting contiguous CA, measure EIRP by either a) or b) below.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 xml:space="preserve">N = SCS/15, where SCS is </w:t>
      </w:r>
      <w:ins w:id="18" w:author="ZTE" w:date="2018-09-27T13:54:05Z">
        <w:r>
          <w:rPr>
            <w:rFonts w:hint="eastAsia"/>
            <w:lang w:val="en-US" w:eastAsia="zh-CN"/>
          </w:rPr>
          <w:t>the smallest</w:t>
        </w:r>
      </w:ins>
      <w:ins w:id="19" w:author="ZTE" w:date="2018-09-27T13:54:06Z">
        <w:r>
          <w:rPr>
            <w:rFonts w:hint="eastAsia"/>
            <w:lang w:val="en-US" w:eastAsia="zh-CN"/>
          </w:rPr>
          <w:t xml:space="preserve"> </w:t>
        </w:r>
      </w:ins>
      <w:r>
        <w:t>Sub Carrier Spacing in kHz</w:t>
      </w:r>
      <w:ins w:id="20" w:author="ZTE" w:date="2018-09-27T13:54:13Z">
        <w:r>
          <w:rPr>
            <w:rFonts w:hint="eastAsia"/>
            <w:lang w:val="en-US" w:eastAsia="zh-CN"/>
          </w:rPr>
          <w:t xml:space="preserve"> used in the </w:t>
        </w:r>
      </w:ins>
      <w:ins w:id="21" w:author="ZTE" w:date="2018-09-27T13:54:13Z">
        <w:r>
          <w:rPr>
            <w:rFonts w:eastAsia="宋体"/>
            <w:i/>
            <w:iCs/>
          </w:rPr>
          <w:t xml:space="preserve">Aggregated </w:t>
        </w:r>
      </w:ins>
      <w:ins w:id="22" w:author="ZTE" w:date="2018-09-27T13:54:13Z">
        <w:r>
          <w:rPr>
            <w:rFonts w:hint="eastAsia" w:eastAsia="宋体"/>
            <w:i/>
            <w:iCs/>
            <w:lang w:val="en-US" w:eastAsia="zh-CN"/>
          </w:rPr>
          <w:t xml:space="preserve">BS </w:t>
        </w:r>
      </w:ins>
      <w:ins w:id="23" w:author="ZTE" w:date="2018-09-27T13:54:13Z">
        <w:r>
          <w:rPr>
            <w:rFonts w:eastAsia="宋体"/>
            <w:i/>
            <w:iCs/>
          </w:rPr>
          <w:t>Channel Bandwidth</w:t>
        </w:r>
      </w:ins>
      <w:r>
        <w:t>.</w:t>
      </w:r>
      <w:ins w:id="24" w:author="ZTE" w:date="2018-09-27T13:53:52Z">
        <w:r>
          <w:rPr>
            <w:rFonts w:hint="eastAsia"/>
            <w:lang w:val="en-US" w:eastAsia="zh-CN"/>
          </w:rPr>
          <w:t xml:space="preserve"> </w:t>
        </w:r>
      </w:ins>
      <w:ins w:id="25" w:author="ZTE" w:date="2018-09-27T13:53:53Z">
        <w:r>
          <w:rPr>
            <w:rFonts w:hint="eastAsia"/>
            <w:lang w:val="en-US" w:eastAsia="zh-CN"/>
          </w:rPr>
          <w:t xml:space="preserve"> </w:t>
        </w:r>
      </w:ins>
    </w:p>
    <w:p>
      <w:pPr>
        <w:pStyle w:val="48"/>
        <w:pPrChange w:id="26" w:author="ZTE" w:date="2018-09-27T13:54:18Z">
          <w:pPr>
            <w:pStyle w:val="59"/>
          </w:pPr>
        </w:pPrChange>
      </w:pPr>
      <w:r>
        <w:t>a)</w:t>
      </w:r>
      <w:r>
        <w:tab/>
      </w:r>
      <w:r>
        <w:t>If the test facility only supports single polarization, then measure EIRP with the test facility's test antenna/probe polarization matched to the NR BS.</w:t>
      </w:r>
    </w:p>
    <w:p>
      <w:pPr>
        <w:pStyle w:val="59"/>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48"/>
      </w:pPr>
      <w:r>
        <w:t>9)</w:t>
      </w:r>
      <w:r>
        <w:tab/>
      </w:r>
      <w:r>
        <w:t xml:space="preserve">Repeat step 6-8 for all directions in the appropriated TRP measurement grid needed for full TRP estimation (see annex </w:t>
      </w:r>
      <w:r>
        <w:rPr>
          <w:highlight w:val="yellow"/>
        </w:rPr>
        <w:t>xx</w:t>
      </w:r>
      <w:r>
        <w:t>).</w:t>
      </w:r>
    </w:p>
    <w:p>
      <w:pPr>
        <w:pStyle w:val="48"/>
      </w:pPr>
      <w:r>
        <w:t>10)</w:t>
      </w:r>
      <w:r>
        <w:tab/>
      </w:r>
      <w:r>
        <w:t>Calculate TRP using the EIRP measurements.</w:t>
      </w:r>
    </w:p>
    <w:p>
      <w:pPr>
        <w:pStyle w:val="48"/>
        <w:ind w:firstLine="0"/>
        <w:rPr>
          <w:del w:id="27" w:author="ZTE" w:date="2018-09-27T10:25:28Z"/>
          <w:lang w:eastAsia="zh-CN"/>
        </w:rPr>
      </w:pPr>
      <w:del w:id="28" w:author="ZTE" w:date="2018-09-27T10:25:28Z">
        <w:r>
          <w:rPr>
            <w:lang w:eastAsia="zh-CN"/>
          </w:rPr>
          <w:delText>For multi-band capable NR BS and single band tests, repeat the steps above per involved band where single band test configurations and test models shall apply with no carriers activated in the other band.</w:delText>
        </w:r>
      </w:del>
      <w:r>
        <w:rPr>
          <w:lang w:eastAsia="zh-CN"/>
        </w:rPr>
        <w:t>]</w:t>
      </w:r>
    </w:p>
    <w:p>
      <w:pPr>
        <w:pStyle w:val="5"/>
      </w:pPr>
      <w:bookmarkStart w:id="23" w:name="_Toc523481330"/>
      <w:r>
        <w:t>6.5.1.5</w:t>
      </w:r>
      <w:r>
        <w:tab/>
      </w:r>
      <w:r>
        <w:t>Test requirements</w:t>
      </w:r>
      <w:bookmarkEnd w:id="23"/>
    </w:p>
    <w:p>
      <w:pPr>
        <w:pStyle w:val="6"/>
      </w:pPr>
      <w:bookmarkStart w:id="24" w:name="_Toc523481331"/>
      <w:r>
        <w:t>6.5.1.5.1</w:t>
      </w:r>
      <w:r>
        <w:tab/>
      </w:r>
      <w:r>
        <w:rPr>
          <w:i/>
        </w:rPr>
        <w:t>BS type 1-O</w:t>
      </w:r>
      <w:bookmarkEnd w:id="24"/>
    </w:p>
    <w:p>
      <w:pPr>
        <w:keepNext/>
        <w:keepLines/>
        <w:rPr>
          <w:lang w:eastAsia="zh-CN"/>
        </w:rPr>
      </w:pPr>
      <w:r>
        <w:rPr>
          <w:lang w:eastAsia="zh-CN"/>
        </w:rPr>
        <w:t xml:space="preserve">The measured mean power spectral density according to subclause 6.5.1.4.2 shall be less than -102.6 dBm/MHz </w:t>
      </w:r>
      <w:r>
        <w:rPr>
          <w:rFonts w:cs="v4.2.0"/>
        </w:rPr>
        <w:t xml:space="preserve">for carrier frequency f </w:t>
      </w:r>
      <w:r>
        <w:rPr>
          <w:rFonts w:cs="Arial"/>
        </w:rPr>
        <w:t>≤</w:t>
      </w:r>
      <w:r>
        <w:rPr>
          <w:rFonts w:cs="v4.2.0"/>
        </w:rPr>
        <w:t xml:space="preserve"> 3.0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6.5.1.4.2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multi-band RIB</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37"/>
        <w:ind w:left="993"/>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C.1.</w:t>
      </w:r>
    </w:p>
    <w:p>
      <w:pPr>
        <w:pStyle w:val="6"/>
      </w:pPr>
      <w:bookmarkStart w:id="25" w:name="_Toc523481332"/>
      <w:r>
        <w:t>6.5.1.5.2</w:t>
      </w:r>
      <w:r>
        <w:tab/>
      </w:r>
      <w:r>
        <w:rPr>
          <w:i/>
        </w:rPr>
        <w:t>BS type 2-O</w:t>
      </w:r>
      <w:bookmarkEnd w:id="25"/>
    </w:p>
    <w:p>
      <w:pPr>
        <w:keepNext/>
        <w:keepLines/>
        <w:rPr>
          <w:lang w:eastAsia="zh-CN"/>
        </w:rPr>
      </w:pPr>
      <w:r>
        <w:rPr>
          <w:lang w:eastAsia="zh-CN"/>
        </w:rPr>
        <w:t xml:space="preserve">The measured mean power spectral density according to subclause 9.5.1.4.2 shall be less than </w:t>
      </w:r>
      <w:r>
        <w:rPr>
          <w:highlight w:val="yellow"/>
          <w:lang w:eastAsia="zh-CN"/>
        </w:rPr>
        <w:t>[-36+XX]</w:t>
      </w:r>
      <w:r>
        <w:rPr>
          <w:lang w:eastAsia="zh-CN"/>
        </w:rPr>
        <w:t xml:space="preserve"> dBm/MHz </w:t>
      </w:r>
      <w:r>
        <w:rPr>
          <w:rFonts w:cs="v4.2.0"/>
        </w:rPr>
        <w:t xml:space="preserve">for carrier frequency f </w:t>
      </w:r>
      <w:r>
        <w:rPr>
          <w:rFonts w:hint="eastAsia" w:cs="Arial"/>
        </w:rPr>
        <w:t>≤</w:t>
      </w:r>
      <w:r>
        <w:rPr>
          <w:rFonts w:cs="v4.2.0"/>
        </w:rPr>
        <w:t xml:space="preserve"> </w:t>
      </w:r>
      <w:r>
        <w:rPr>
          <w:rFonts w:cs="v4.2.0"/>
          <w:highlight w:val="yellow"/>
        </w:rPr>
        <w:t>XX</w:t>
      </w:r>
      <w:r>
        <w:rPr>
          <w:rFonts w:cs="v4.2.0"/>
        </w:rPr>
        <w:t xml:space="preserve"> GHz</w:t>
      </w:r>
      <w:r>
        <w:rPr>
          <w:lang w:eastAsia="zh-CN"/>
        </w:rP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w:t>
      </w:r>
      <w:r>
        <w:rPr>
          <w:highlight w:val="yellow"/>
          <w:lang w:eastAsia="zh-CN"/>
        </w:rPr>
        <w:t>-36+XX]</w:t>
      </w:r>
      <w:r>
        <w:rPr>
          <w:lang w:eastAsia="zh-CN"/>
        </w:rPr>
        <w:t xml:space="preserve"> dBm/MHz</w:t>
      </w:r>
      <w:r>
        <w:rPr>
          <w:rFonts w:cs="v4.2.0"/>
        </w:rPr>
        <w:t xml:space="preserve"> for carrier frequency </w:t>
      </w:r>
      <w:r>
        <w:rPr>
          <w:rFonts w:cs="v4.2.0"/>
          <w:highlight w:val="yellow"/>
        </w:rPr>
        <w:t xml:space="preserve">XX GHz &lt; f </w:t>
      </w:r>
      <w:r>
        <w:rPr>
          <w:rFonts w:hint="eastAsia" w:cs="Arial"/>
          <w:highlight w:val="yellow"/>
        </w:rPr>
        <w:t>≤</w:t>
      </w:r>
      <w:r>
        <w:rPr>
          <w:rFonts w:cs="v4.2.0"/>
          <w:highlight w:val="yellow"/>
        </w:rPr>
        <w:t xml:space="preserve"> XX</w:t>
      </w:r>
      <w:r>
        <w:rPr>
          <w:rFonts w:cs="v4.2.0"/>
        </w:rPr>
        <w:t xml:space="preserve"> GHz</w:t>
      </w:r>
      <w:r>
        <w:t>.</w:t>
      </w:r>
    </w:p>
    <w:p>
      <w:r>
        <w:t xml:space="preserve">The measured </w:t>
      </w:r>
      <w:r>
        <w:rPr>
          <w:lang w:eastAsia="zh-CN"/>
        </w:rPr>
        <w:t>mean</w:t>
      </w:r>
      <w:r>
        <w:t xml:space="preserve"> power</w:t>
      </w:r>
      <w:r>
        <w:rPr>
          <w:lang w:eastAsia="zh-CN"/>
        </w:rPr>
        <w:t xml:space="preserve"> spectral density</w:t>
      </w:r>
      <w:r>
        <w:t xml:space="preserve"> </w:t>
      </w:r>
      <w:r>
        <w:rPr>
          <w:lang w:eastAsia="zh-CN"/>
        </w:rPr>
        <w:t xml:space="preserve">according to subclause 9.5.1.4.2 </w:t>
      </w:r>
      <w:r>
        <w:t xml:space="preserve">shall be less than </w:t>
      </w:r>
      <w:r>
        <w:rPr>
          <w:highlight w:val="yellow"/>
        </w:rPr>
        <w:t>[-36+XX</w:t>
      </w:r>
      <w:r>
        <w:rPr>
          <w:highlight w:val="yellow"/>
          <w:lang w:eastAsia="zh-CN"/>
        </w:rPr>
        <w:t>]</w:t>
      </w:r>
      <w:r>
        <w:rPr>
          <w:lang w:eastAsia="zh-CN"/>
        </w:rPr>
        <w:t xml:space="preserve"> dBm/MHz</w:t>
      </w:r>
      <w:r>
        <w:rPr>
          <w:rFonts w:cs="v4.2.0"/>
        </w:rPr>
        <w:t xml:space="preserve"> for carrier frequency </w:t>
      </w:r>
      <w:r>
        <w:rPr>
          <w:rFonts w:cs="v4.2.0"/>
          <w:highlight w:val="yellow"/>
        </w:rPr>
        <w:t xml:space="preserve">XX GHz &lt; f </w:t>
      </w:r>
      <w:r>
        <w:rPr>
          <w:rFonts w:hint="eastAsia" w:cs="Arial"/>
          <w:highlight w:val="yellow"/>
        </w:rPr>
        <w:t>≤</w:t>
      </w:r>
      <w:r>
        <w:rPr>
          <w:rFonts w:cs="v4.2.0"/>
          <w:highlight w:val="yellow"/>
        </w:rPr>
        <w:t xml:space="preserve"> XX</w:t>
      </w:r>
      <w:r>
        <w:rPr>
          <w:rFonts w:cs="v4.2.0"/>
        </w:rPr>
        <w:t xml:space="preserve"> GHz</w:t>
      </w:r>
      <w:r>
        <w:t>.</w:t>
      </w:r>
    </w:p>
    <w:p>
      <w:pPr>
        <w:rPr>
          <w:del w:id="29" w:author="ZTE" w:date="2018-09-27T10:27:24Z"/>
        </w:rPr>
      </w:pPr>
      <w:del w:id="30" w:author="ZTE" w:date="2018-09-27T10:27:24Z">
        <w:r>
          <w:rPr>
            <w:lang w:eastAsia="zh-CN"/>
          </w:rPr>
          <w:delText xml:space="preserve">For </w:delText>
        </w:r>
      </w:del>
      <w:del w:id="31" w:author="ZTE" w:date="2018-09-27T10:27:24Z">
        <w:r>
          <w:rPr>
            <w:i/>
            <w:lang w:eastAsia="zh-CN"/>
          </w:rPr>
          <w:delText>multi-band RIBs</w:delText>
        </w:r>
      </w:del>
      <w:del w:id="32" w:author="ZTE" w:date="2018-09-27T10:27:24Z">
        <w:r>
          <w:rPr>
            <w:lang w:eastAsia="zh-CN"/>
          </w:rPr>
          <w:delText>, the requirement is only applicable during the transmitter OFF period in all supported operating bands.</w:delText>
        </w:r>
      </w:del>
    </w:p>
    <w:p>
      <w:pPr>
        <w:pStyle w:val="37"/>
        <w:ind w:left="993"/>
        <w:rPr>
          <w:rFonts w:cs="v4.2.0"/>
        </w:rPr>
      </w:pPr>
      <w:r>
        <w:rPr>
          <w:rFonts w:cs="v4.2.0"/>
        </w:rPr>
        <w:t>NOTE:</w:t>
      </w:r>
      <w:r>
        <w:rPr>
          <w:rFonts w:cs="v4.2.0"/>
        </w:rPr>
        <w:tab/>
      </w:r>
      <w:r>
        <w:rPr>
          <w:rFonts w:cs="v4.2.0"/>
        </w:rP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Pr>
          <w:rFonts w:cs="v4.2.0"/>
          <w:highlight w:val="cyan"/>
        </w:rPr>
        <w:t>.1</w:t>
      </w:r>
      <w:r>
        <w:rPr>
          <w:rFonts w:cs="v4.2.0"/>
        </w:rPr>
        <w:t>.</w:t>
      </w:r>
    </w:p>
    <w:p>
      <w:pPr>
        <w:pStyle w:val="37"/>
        <w:ind w:left="993"/>
        <w:rPr>
          <w:rFonts w:cs="v4.2.0"/>
        </w:rPr>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17CED"/>
    <w:rsid w:val="0046208E"/>
    <w:rsid w:val="004904B0"/>
    <w:rsid w:val="004C7D05"/>
    <w:rsid w:val="004D3578"/>
    <w:rsid w:val="004E213A"/>
    <w:rsid w:val="005009E6"/>
    <w:rsid w:val="005270F7"/>
    <w:rsid w:val="00543E6C"/>
    <w:rsid w:val="005556C3"/>
    <w:rsid w:val="005617D6"/>
    <w:rsid w:val="00565087"/>
    <w:rsid w:val="00593DCA"/>
    <w:rsid w:val="005D2E01"/>
    <w:rsid w:val="005E656E"/>
    <w:rsid w:val="00611B8D"/>
    <w:rsid w:val="00614144"/>
    <w:rsid w:val="00614FDF"/>
    <w:rsid w:val="0062741D"/>
    <w:rsid w:val="006766F4"/>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2E2136"/>
    <w:rsid w:val="01535E2A"/>
    <w:rsid w:val="01623D0C"/>
    <w:rsid w:val="01774F5C"/>
    <w:rsid w:val="01810BE6"/>
    <w:rsid w:val="019B5419"/>
    <w:rsid w:val="01B35B84"/>
    <w:rsid w:val="01E7251C"/>
    <w:rsid w:val="01F80C01"/>
    <w:rsid w:val="020F161E"/>
    <w:rsid w:val="021117EA"/>
    <w:rsid w:val="021667B0"/>
    <w:rsid w:val="02484386"/>
    <w:rsid w:val="02916A16"/>
    <w:rsid w:val="02A8477D"/>
    <w:rsid w:val="02B8488C"/>
    <w:rsid w:val="02BE3095"/>
    <w:rsid w:val="02ED6057"/>
    <w:rsid w:val="02F26344"/>
    <w:rsid w:val="02F86C99"/>
    <w:rsid w:val="03013883"/>
    <w:rsid w:val="03381C3B"/>
    <w:rsid w:val="036F6509"/>
    <w:rsid w:val="03871832"/>
    <w:rsid w:val="03E44256"/>
    <w:rsid w:val="03EA0D31"/>
    <w:rsid w:val="04020214"/>
    <w:rsid w:val="040914F0"/>
    <w:rsid w:val="04254834"/>
    <w:rsid w:val="04416417"/>
    <w:rsid w:val="044542E2"/>
    <w:rsid w:val="045F2E99"/>
    <w:rsid w:val="04774084"/>
    <w:rsid w:val="04C30381"/>
    <w:rsid w:val="04D90C90"/>
    <w:rsid w:val="04FC691F"/>
    <w:rsid w:val="052A6238"/>
    <w:rsid w:val="05582CAE"/>
    <w:rsid w:val="05851F8C"/>
    <w:rsid w:val="059D5EED"/>
    <w:rsid w:val="059F6C4F"/>
    <w:rsid w:val="05B3371D"/>
    <w:rsid w:val="05CA3C0A"/>
    <w:rsid w:val="05F73593"/>
    <w:rsid w:val="061446FF"/>
    <w:rsid w:val="066735C0"/>
    <w:rsid w:val="06A365C3"/>
    <w:rsid w:val="06DD6FBC"/>
    <w:rsid w:val="06EE4116"/>
    <w:rsid w:val="06FF4F38"/>
    <w:rsid w:val="070D3E5A"/>
    <w:rsid w:val="0747012A"/>
    <w:rsid w:val="075C29C9"/>
    <w:rsid w:val="07815F0D"/>
    <w:rsid w:val="078C5544"/>
    <w:rsid w:val="07BB4FBD"/>
    <w:rsid w:val="07DF60D6"/>
    <w:rsid w:val="081816C5"/>
    <w:rsid w:val="08184646"/>
    <w:rsid w:val="087933C5"/>
    <w:rsid w:val="088C0972"/>
    <w:rsid w:val="089F1EBF"/>
    <w:rsid w:val="08A503F2"/>
    <w:rsid w:val="08D649E5"/>
    <w:rsid w:val="08DA0AAC"/>
    <w:rsid w:val="09396A3D"/>
    <w:rsid w:val="095C0E2A"/>
    <w:rsid w:val="099D2C5C"/>
    <w:rsid w:val="09BF5387"/>
    <w:rsid w:val="09C13918"/>
    <w:rsid w:val="0A365C59"/>
    <w:rsid w:val="0A3825F4"/>
    <w:rsid w:val="0A524BA6"/>
    <w:rsid w:val="0A6254B1"/>
    <w:rsid w:val="0A7B1C93"/>
    <w:rsid w:val="0A7E63FC"/>
    <w:rsid w:val="0A884CC7"/>
    <w:rsid w:val="0AA4546A"/>
    <w:rsid w:val="0AAD213B"/>
    <w:rsid w:val="0AD748A2"/>
    <w:rsid w:val="0AF82B7A"/>
    <w:rsid w:val="0B2502F1"/>
    <w:rsid w:val="0B42260A"/>
    <w:rsid w:val="0B447F14"/>
    <w:rsid w:val="0B9022C6"/>
    <w:rsid w:val="0B994FDC"/>
    <w:rsid w:val="0BDF126C"/>
    <w:rsid w:val="0C631AC4"/>
    <w:rsid w:val="0C8B2065"/>
    <w:rsid w:val="0C8F14BB"/>
    <w:rsid w:val="0C910A32"/>
    <w:rsid w:val="0C9533DC"/>
    <w:rsid w:val="0CA438EB"/>
    <w:rsid w:val="0CAC4724"/>
    <w:rsid w:val="0CF42FD3"/>
    <w:rsid w:val="0D0212BF"/>
    <w:rsid w:val="0D2C3731"/>
    <w:rsid w:val="0DA448CA"/>
    <w:rsid w:val="0DEB3F55"/>
    <w:rsid w:val="0E03052C"/>
    <w:rsid w:val="0E754D98"/>
    <w:rsid w:val="0F0744EB"/>
    <w:rsid w:val="0F2C19B6"/>
    <w:rsid w:val="0F6F0F8C"/>
    <w:rsid w:val="0F996725"/>
    <w:rsid w:val="0FB127A0"/>
    <w:rsid w:val="0FC667DB"/>
    <w:rsid w:val="100067D1"/>
    <w:rsid w:val="10294F47"/>
    <w:rsid w:val="10314CA3"/>
    <w:rsid w:val="10466D14"/>
    <w:rsid w:val="10874490"/>
    <w:rsid w:val="109A0A75"/>
    <w:rsid w:val="10ED193F"/>
    <w:rsid w:val="11331198"/>
    <w:rsid w:val="11525D19"/>
    <w:rsid w:val="1186336B"/>
    <w:rsid w:val="11882C69"/>
    <w:rsid w:val="11954ABE"/>
    <w:rsid w:val="11B37B86"/>
    <w:rsid w:val="11B71848"/>
    <w:rsid w:val="11C22285"/>
    <w:rsid w:val="11DB77BE"/>
    <w:rsid w:val="11E73B1D"/>
    <w:rsid w:val="121A0048"/>
    <w:rsid w:val="1262733E"/>
    <w:rsid w:val="126A6964"/>
    <w:rsid w:val="127F138F"/>
    <w:rsid w:val="12830DF3"/>
    <w:rsid w:val="128C7397"/>
    <w:rsid w:val="12F61512"/>
    <w:rsid w:val="12F94DF7"/>
    <w:rsid w:val="132216A2"/>
    <w:rsid w:val="13493AE2"/>
    <w:rsid w:val="13690F04"/>
    <w:rsid w:val="13C5071F"/>
    <w:rsid w:val="14065F13"/>
    <w:rsid w:val="1482607A"/>
    <w:rsid w:val="14863F90"/>
    <w:rsid w:val="14961E2D"/>
    <w:rsid w:val="14C95A25"/>
    <w:rsid w:val="14E730FC"/>
    <w:rsid w:val="15276AE0"/>
    <w:rsid w:val="15642A16"/>
    <w:rsid w:val="15731AB2"/>
    <w:rsid w:val="15993C65"/>
    <w:rsid w:val="15D71C6D"/>
    <w:rsid w:val="16134335"/>
    <w:rsid w:val="16297297"/>
    <w:rsid w:val="16787946"/>
    <w:rsid w:val="16975159"/>
    <w:rsid w:val="16A15D9B"/>
    <w:rsid w:val="16E84729"/>
    <w:rsid w:val="16EB2494"/>
    <w:rsid w:val="16EC25AB"/>
    <w:rsid w:val="1755723F"/>
    <w:rsid w:val="17667AE8"/>
    <w:rsid w:val="177179F5"/>
    <w:rsid w:val="17963415"/>
    <w:rsid w:val="17A5212D"/>
    <w:rsid w:val="17C242A2"/>
    <w:rsid w:val="17F7650F"/>
    <w:rsid w:val="181216EB"/>
    <w:rsid w:val="182A22CE"/>
    <w:rsid w:val="18514421"/>
    <w:rsid w:val="18572857"/>
    <w:rsid w:val="18661278"/>
    <w:rsid w:val="187D4806"/>
    <w:rsid w:val="188C6C82"/>
    <w:rsid w:val="192A3C45"/>
    <w:rsid w:val="19342C66"/>
    <w:rsid w:val="193A6F2B"/>
    <w:rsid w:val="19595695"/>
    <w:rsid w:val="19876F88"/>
    <w:rsid w:val="19C13329"/>
    <w:rsid w:val="1A0559CE"/>
    <w:rsid w:val="1A1A0B4D"/>
    <w:rsid w:val="1A602354"/>
    <w:rsid w:val="1A6D3D07"/>
    <w:rsid w:val="1A7605CF"/>
    <w:rsid w:val="1A9208B2"/>
    <w:rsid w:val="1AA31E72"/>
    <w:rsid w:val="1AB23ABD"/>
    <w:rsid w:val="1AD64ADA"/>
    <w:rsid w:val="1AFE6088"/>
    <w:rsid w:val="1B297719"/>
    <w:rsid w:val="1B3D2097"/>
    <w:rsid w:val="1B430029"/>
    <w:rsid w:val="1B67075E"/>
    <w:rsid w:val="1B7C7CE7"/>
    <w:rsid w:val="1B881427"/>
    <w:rsid w:val="1BCF025A"/>
    <w:rsid w:val="1BE67D30"/>
    <w:rsid w:val="1BEB52DB"/>
    <w:rsid w:val="1BFD5E42"/>
    <w:rsid w:val="1C243477"/>
    <w:rsid w:val="1C6E2C7D"/>
    <w:rsid w:val="1C7972E9"/>
    <w:rsid w:val="1C7B72B6"/>
    <w:rsid w:val="1CD22474"/>
    <w:rsid w:val="1D001A1A"/>
    <w:rsid w:val="1D2D51F5"/>
    <w:rsid w:val="1D6768E8"/>
    <w:rsid w:val="1D6A0EE9"/>
    <w:rsid w:val="1D6E080E"/>
    <w:rsid w:val="1DD26978"/>
    <w:rsid w:val="1DF13F80"/>
    <w:rsid w:val="1DFB4758"/>
    <w:rsid w:val="1E2A3611"/>
    <w:rsid w:val="1E3A59B7"/>
    <w:rsid w:val="1E3F3C2A"/>
    <w:rsid w:val="1E51658E"/>
    <w:rsid w:val="1E6C3E6B"/>
    <w:rsid w:val="1E6D7DAC"/>
    <w:rsid w:val="1E847CB8"/>
    <w:rsid w:val="1EC167C9"/>
    <w:rsid w:val="1EC26510"/>
    <w:rsid w:val="1EC9220E"/>
    <w:rsid w:val="1ED92E15"/>
    <w:rsid w:val="1EF51EF0"/>
    <w:rsid w:val="1EFB01BB"/>
    <w:rsid w:val="1F066937"/>
    <w:rsid w:val="1F0C16D5"/>
    <w:rsid w:val="1F147819"/>
    <w:rsid w:val="1F165896"/>
    <w:rsid w:val="1F3A33A5"/>
    <w:rsid w:val="1F59764A"/>
    <w:rsid w:val="1F5E2709"/>
    <w:rsid w:val="1F665123"/>
    <w:rsid w:val="1F74726C"/>
    <w:rsid w:val="1F9A4160"/>
    <w:rsid w:val="1FA342D1"/>
    <w:rsid w:val="1FAB23EA"/>
    <w:rsid w:val="1FB44F74"/>
    <w:rsid w:val="1FDC31A1"/>
    <w:rsid w:val="1FF64863"/>
    <w:rsid w:val="2048645E"/>
    <w:rsid w:val="206074ED"/>
    <w:rsid w:val="20701E97"/>
    <w:rsid w:val="20DE540F"/>
    <w:rsid w:val="20ED30CE"/>
    <w:rsid w:val="2142547D"/>
    <w:rsid w:val="21A56872"/>
    <w:rsid w:val="21DD290D"/>
    <w:rsid w:val="221D6E5D"/>
    <w:rsid w:val="221E67D9"/>
    <w:rsid w:val="226D57E2"/>
    <w:rsid w:val="22701CE7"/>
    <w:rsid w:val="228B414A"/>
    <w:rsid w:val="23832363"/>
    <w:rsid w:val="239919ED"/>
    <w:rsid w:val="23A306AD"/>
    <w:rsid w:val="23A664EE"/>
    <w:rsid w:val="23BB3564"/>
    <w:rsid w:val="23E53877"/>
    <w:rsid w:val="23E75CFD"/>
    <w:rsid w:val="23EE6441"/>
    <w:rsid w:val="240F127B"/>
    <w:rsid w:val="243D7C0A"/>
    <w:rsid w:val="246E4684"/>
    <w:rsid w:val="24F94641"/>
    <w:rsid w:val="24FF426F"/>
    <w:rsid w:val="25051F4F"/>
    <w:rsid w:val="250E4A35"/>
    <w:rsid w:val="25203EE6"/>
    <w:rsid w:val="255615CF"/>
    <w:rsid w:val="25622F12"/>
    <w:rsid w:val="25B606C7"/>
    <w:rsid w:val="261D6C16"/>
    <w:rsid w:val="263D77F3"/>
    <w:rsid w:val="26792F2C"/>
    <w:rsid w:val="26B87498"/>
    <w:rsid w:val="26DB2D66"/>
    <w:rsid w:val="270372CB"/>
    <w:rsid w:val="272A4B57"/>
    <w:rsid w:val="27367C0B"/>
    <w:rsid w:val="27376B56"/>
    <w:rsid w:val="275D753D"/>
    <w:rsid w:val="27615139"/>
    <w:rsid w:val="27727DA9"/>
    <w:rsid w:val="2793073B"/>
    <w:rsid w:val="281854CA"/>
    <w:rsid w:val="281E303E"/>
    <w:rsid w:val="281E688F"/>
    <w:rsid w:val="28311D7C"/>
    <w:rsid w:val="28350FD1"/>
    <w:rsid w:val="284B4D45"/>
    <w:rsid w:val="28577D32"/>
    <w:rsid w:val="28802122"/>
    <w:rsid w:val="28A164A4"/>
    <w:rsid w:val="28A332AD"/>
    <w:rsid w:val="28DF183A"/>
    <w:rsid w:val="28E07B0D"/>
    <w:rsid w:val="28F22ED8"/>
    <w:rsid w:val="28F40426"/>
    <w:rsid w:val="29012BE1"/>
    <w:rsid w:val="290A6753"/>
    <w:rsid w:val="290E66EE"/>
    <w:rsid w:val="295E585E"/>
    <w:rsid w:val="297E1C8A"/>
    <w:rsid w:val="298D52CB"/>
    <w:rsid w:val="29B11110"/>
    <w:rsid w:val="2A3A6FE5"/>
    <w:rsid w:val="2A695235"/>
    <w:rsid w:val="2AB1617D"/>
    <w:rsid w:val="2ACC18CD"/>
    <w:rsid w:val="2AD828CA"/>
    <w:rsid w:val="2ADF3405"/>
    <w:rsid w:val="2AE17A5D"/>
    <w:rsid w:val="2B19241E"/>
    <w:rsid w:val="2B2D02C6"/>
    <w:rsid w:val="2BAF2F2F"/>
    <w:rsid w:val="2BC73A16"/>
    <w:rsid w:val="2BFB21A9"/>
    <w:rsid w:val="2C017DD1"/>
    <w:rsid w:val="2C311E41"/>
    <w:rsid w:val="2C3B29A5"/>
    <w:rsid w:val="2C4118B1"/>
    <w:rsid w:val="2C480200"/>
    <w:rsid w:val="2C512E5D"/>
    <w:rsid w:val="2C7C1690"/>
    <w:rsid w:val="2C997A37"/>
    <w:rsid w:val="2CA81E72"/>
    <w:rsid w:val="2CE5520F"/>
    <w:rsid w:val="2D067217"/>
    <w:rsid w:val="2D117E3F"/>
    <w:rsid w:val="2D236CC6"/>
    <w:rsid w:val="2D715E46"/>
    <w:rsid w:val="2D826A94"/>
    <w:rsid w:val="2DA7794E"/>
    <w:rsid w:val="2E251599"/>
    <w:rsid w:val="2E356C94"/>
    <w:rsid w:val="2E3A7B1B"/>
    <w:rsid w:val="2E3C04FB"/>
    <w:rsid w:val="2E4232A0"/>
    <w:rsid w:val="2E472BCA"/>
    <w:rsid w:val="2E6465A7"/>
    <w:rsid w:val="2E6E478F"/>
    <w:rsid w:val="2E6F4F60"/>
    <w:rsid w:val="2E7E79E7"/>
    <w:rsid w:val="2E806A6F"/>
    <w:rsid w:val="2E8923B4"/>
    <w:rsid w:val="2EC752A5"/>
    <w:rsid w:val="2ECA4C3B"/>
    <w:rsid w:val="2ECD088E"/>
    <w:rsid w:val="2EED5528"/>
    <w:rsid w:val="2F13098E"/>
    <w:rsid w:val="2F24759F"/>
    <w:rsid w:val="2F2740DC"/>
    <w:rsid w:val="2F2F69EB"/>
    <w:rsid w:val="2F35126F"/>
    <w:rsid w:val="2F6A7D9D"/>
    <w:rsid w:val="2F7F223A"/>
    <w:rsid w:val="2F8C538A"/>
    <w:rsid w:val="2FA71572"/>
    <w:rsid w:val="2FB44850"/>
    <w:rsid w:val="2FD8196A"/>
    <w:rsid w:val="2FE42435"/>
    <w:rsid w:val="30134F10"/>
    <w:rsid w:val="30951181"/>
    <w:rsid w:val="30A31D5D"/>
    <w:rsid w:val="30C8051A"/>
    <w:rsid w:val="30E61FA8"/>
    <w:rsid w:val="30EB0CA2"/>
    <w:rsid w:val="30FB6410"/>
    <w:rsid w:val="31035673"/>
    <w:rsid w:val="311A6FBE"/>
    <w:rsid w:val="313705A3"/>
    <w:rsid w:val="313E6FCD"/>
    <w:rsid w:val="315F4AAA"/>
    <w:rsid w:val="31674CDA"/>
    <w:rsid w:val="316F6B25"/>
    <w:rsid w:val="31C937E8"/>
    <w:rsid w:val="31E261FC"/>
    <w:rsid w:val="31F51312"/>
    <w:rsid w:val="31F75DC5"/>
    <w:rsid w:val="324F329B"/>
    <w:rsid w:val="32A44F88"/>
    <w:rsid w:val="32C0448E"/>
    <w:rsid w:val="32D01793"/>
    <w:rsid w:val="33394962"/>
    <w:rsid w:val="33413221"/>
    <w:rsid w:val="334769BF"/>
    <w:rsid w:val="336E79AE"/>
    <w:rsid w:val="33956D5E"/>
    <w:rsid w:val="33DC652A"/>
    <w:rsid w:val="33E44741"/>
    <w:rsid w:val="340E4D8A"/>
    <w:rsid w:val="3416783D"/>
    <w:rsid w:val="34624E27"/>
    <w:rsid w:val="34BD7E40"/>
    <w:rsid w:val="34DA3E69"/>
    <w:rsid w:val="34DC36FF"/>
    <w:rsid w:val="34E3024C"/>
    <w:rsid w:val="35015096"/>
    <w:rsid w:val="350809C2"/>
    <w:rsid w:val="351B0A04"/>
    <w:rsid w:val="35204803"/>
    <w:rsid w:val="353E7A05"/>
    <w:rsid w:val="354969F8"/>
    <w:rsid w:val="35572F5F"/>
    <w:rsid w:val="35794828"/>
    <w:rsid w:val="35A739A1"/>
    <w:rsid w:val="35AB5E22"/>
    <w:rsid w:val="36007A3E"/>
    <w:rsid w:val="363A13E0"/>
    <w:rsid w:val="364C49A3"/>
    <w:rsid w:val="3678753D"/>
    <w:rsid w:val="369F416F"/>
    <w:rsid w:val="36B71C46"/>
    <w:rsid w:val="36FF675A"/>
    <w:rsid w:val="37562857"/>
    <w:rsid w:val="37B16512"/>
    <w:rsid w:val="37B80B19"/>
    <w:rsid w:val="37F33725"/>
    <w:rsid w:val="381D451C"/>
    <w:rsid w:val="38421A63"/>
    <w:rsid w:val="38686EC6"/>
    <w:rsid w:val="38C34B3F"/>
    <w:rsid w:val="38D14BBB"/>
    <w:rsid w:val="38F809A2"/>
    <w:rsid w:val="391146A6"/>
    <w:rsid w:val="393117ED"/>
    <w:rsid w:val="39483A47"/>
    <w:rsid w:val="398162DA"/>
    <w:rsid w:val="39836770"/>
    <w:rsid w:val="39856D66"/>
    <w:rsid w:val="39875216"/>
    <w:rsid w:val="39E25187"/>
    <w:rsid w:val="39E75E12"/>
    <w:rsid w:val="3A102572"/>
    <w:rsid w:val="3A186892"/>
    <w:rsid w:val="3A191B19"/>
    <w:rsid w:val="3A5E7027"/>
    <w:rsid w:val="3AA22677"/>
    <w:rsid w:val="3AAA02F4"/>
    <w:rsid w:val="3AB04DDE"/>
    <w:rsid w:val="3AD37812"/>
    <w:rsid w:val="3B22549B"/>
    <w:rsid w:val="3B39469B"/>
    <w:rsid w:val="3BAC6A12"/>
    <w:rsid w:val="3BAF0918"/>
    <w:rsid w:val="3BE071A5"/>
    <w:rsid w:val="3BEC05EF"/>
    <w:rsid w:val="3BED3F1F"/>
    <w:rsid w:val="3C062197"/>
    <w:rsid w:val="3C2E6119"/>
    <w:rsid w:val="3C3543E3"/>
    <w:rsid w:val="3C7334DA"/>
    <w:rsid w:val="3C9A3965"/>
    <w:rsid w:val="3CB3568C"/>
    <w:rsid w:val="3CCE4736"/>
    <w:rsid w:val="3CE231DF"/>
    <w:rsid w:val="3D1B1823"/>
    <w:rsid w:val="3D3D26F5"/>
    <w:rsid w:val="3D584903"/>
    <w:rsid w:val="3D587ADC"/>
    <w:rsid w:val="3D7632E6"/>
    <w:rsid w:val="3DD93B93"/>
    <w:rsid w:val="3E212D26"/>
    <w:rsid w:val="3E3A2A41"/>
    <w:rsid w:val="3E474041"/>
    <w:rsid w:val="3E6E5573"/>
    <w:rsid w:val="3E762420"/>
    <w:rsid w:val="3ED220DE"/>
    <w:rsid w:val="3EE50C9D"/>
    <w:rsid w:val="3EF20E55"/>
    <w:rsid w:val="3EF47DF9"/>
    <w:rsid w:val="3F025BB0"/>
    <w:rsid w:val="3F4875E6"/>
    <w:rsid w:val="3FAE2219"/>
    <w:rsid w:val="3FAF3C9D"/>
    <w:rsid w:val="3FB70E22"/>
    <w:rsid w:val="3FCE1710"/>
    <w:rsid w:val="3FF14354"/>
    <w:rsid w:val="3FF30D78"/>
    <w:rsid w:val="40007CCF"/>
    <w:rsid w:val="40181EF1"/>
    <w:rsid w:val="40345553"/>
    <w:rsid w:val="405D0EDF"/>
    <w:rsid w:val="409C579F"/>
    <w:rsid w:val="40B37197"/>
    <w:rsid w:val="412D59C3"/>
    <w:rsid w:val="4131566E"/>
    <w:rsid w:val="418722CC"/>
    <w:rsid w:val="41941F8A"/>
    <w:rsid w:val="41A303EF"/>
    <w:rsid w:val="41B00F70"/>
    <w:rsid w:val="422B3EB8"/>
    <w:rsid w:val="425F365A"/>
    <w:rsid w:val="426625B9"/>
    <w:rsid w:val="42C02B3A"/>
    <w:rsid w:val="42C045AD"/>
    <w:rsid w:val="42C079F7"/>
    <w:rsid w:val="436106E2"/>
    <w:rsid w:val="43756825"/>
    <w:rsid w:val="43805FC3"/>
    <w:rsid w:val="43A71C42"/>
    <w:rsid w:val="43CB4164"/>
    <w:rsid w:val="43F21B63"/>
    <w:rsid w:val="441B4F84"/>
    <w:rsid w:val="442E6AE1"/>
    <w:rsid w:val="44314B83"/>
    <w:rsid w:val="444A55E8"/>
    <w:rsid w:val="446D002D"/>
    <w:rsid w:val="446F20B1"/>
    <w:rsid w:val="44773158"/>
    <w:rsid w:val="44832AC3"/>
    <w:rsid w:val="44890C7E"/>
    <w:rsid w:val="44E61B34"/>
    <w:rsid w:val="44F72538"/>
    <w:rsid w:val="45042708"/>
    <w:rsid w:val="450B4A8E"/>
    <w:rsid w:val="453D244D"/>
    <w:rsid w:val="455E2C80"/>
    <w:rsid w:val="45924ECE"/>
    <w:rsid w:val="459E14A2"/>
    <w:rsid w:val="45AE3E43"/>
    <w:rsid w:val="45CF3584"/>
    <w:rsid w:val="46336115"/>
    <w:rsid w:val="46B534AB"/>
    <w:rsid w:val="46BF133F"/>
    <w:rsid w:val="475B2B46"/>
    <w:rsid w:val="47A250DE"/>
    <w:rsid w:val="47A620F8"/>
    <w:rsid w:val="47B77244"/>
    <w:rsid w:val="47C816B2"/>
    <w:rsid w:val="47CE6C68"/>
    <w:rsid w:val="481467AB"/>
    <w:rsid w:val="481E5A12"/>
    <w:rsid w:val="487F4693"/>
    <w:rsid w:val="48A67217"/>
    <w:rsid w:val="48B24E0D"/>
    <w:rsid w:val="48BC5046"/>
    <w:rsid w:val="48CE3EB6"/>
    <w:rsid w:val="48DA537F"/>
    <w:rsid w:val="4917275D"/>
    <w:rsid w:val="491912F5"/>
    <w:rsid w:val="491F2950"/>
    <w:rsid w:val="494B0CA8"/>
    <w:rsid w:val="494B13F4"/>
    <w:rsid w:val="49587D85"/>
    <w:rsid w:val="49B30E12"/>
    <w:rsid w:val="49F92152"/>
    <w:rsid w:val="4A265208"/>
    <w:rsid w:val="4A2F04D9"/>
    <w:rsid w:val="4A561D43"/>
    <w:rsid w:val="4A8A7CA6"/>
    <w:rsid w:val="4B183EDE"/>
    <w:rsid w:val="4B3D161C"/>
    <w:rsid w:val="4B4170DB"/>
    <w:rsid w:val="4B537EDE"/>
    <w:rsid w:val="4B662BE1"/>
    <w:rsid w:val="4B6A39A3"/>
    <w:rsid w:val="4BBF4356"/>
    <w:rsid w:val="4C022D59"/>
    <w:rsid w:val="4C125FAE"/>
    <w:rsid w:val="4C2B13B3"/>
    <w:rsid w:val="4C2F4042"/>
    <w:rsid w:val="4C3D2F23"/>
    <w:rsid w:val="4C456035"/>
    <w:rsid w:val="4C8574A4"/>
    <w:rsid w:val="4CB85219"/>
    <w:rsid w:val="4CCD3856"/>
    <w:rsid w:val="4CD123E4"/>
    <w:rsid w:val="4CDC5DA5"/>
    <w:rsid w:val="4CE72263"/>
    <w:rsid w:val="4CF307C9"/>
    <w:rsid w:val="4D031D5F"/>
    <w:rsid w:val="4D3D51C0"/>
    <w:rsid w:val="4D46172B"/>
    <w:rsid w:val="4D471092"/>
    <w:rsid w:val="4D60789E"/>
    <w:rsid w:val="4DB63996"/>
    <w:rsid w:val="4DD471C3"/>
    <w:rsid w:val="4DEA0CF5"/>
    <w:rsid w:val="4E2E4582"/>
    <w:rsid w:val="4E976257"/>
    <w:rsid w:val="4E9E448D"/>
    <w:rsid w:val="4EB155FD"/>
    <w:rsid w:val="4EE60D30"/>
    <w:rsid w:val="4EE76510"/>
    <w:rsid w:val="4F011489"/>
    <w:rsid w:val="4F0B4FB1"/>
    <w:rsid w:val="4F1A69E0"/>
    <w:rsid w:val="4F5127C9"/>
    <w:rsid w:val="4F6D7B8C"/>
    <w:rsid w:val="4F7B465C"/>
    <w:rsid w:val="4F9A7032"/>
    <w:rsid w:val="4F9E113D"/>
    <w:rsid w:val="4FAA2258"/>
    <w:rsid w:val="4FB57F66"/>
    <w:rsid w:val="501101E1"/>
    <w:rsid w:val="501413E4"/>
    <w:rsid w:val="504A1A9A"/>
    <w:rsid w:val="508E6307"/>
    <w:rsid w:val="50CE307D"/>
    <w:rsid w:val="50E541C7"/>
    <w:rsid w:val="50E9477A"/>
    <w:rsid w:val="50F47FC7"/>
    <w:rsid w:val="51275C73"/>
    <w:rsid w:val="512F1FAA"/>
    <w:rsid w:val="513F0DF2"/>
    <w:rsid w:val="51452069"/>
    <w:rsid w:val="51A4169D"/>
    <w:rsid w:val="51E964F6"/>
    <w:rsid w:val="520620E1"/>
    <w:rsid w:val="52254553"/>
    <w:rsid w:val="523A1A3D"/>
    <w:rsid w:val="52CC5146"/>
    <w:rsid w:val="52D5696B"/>
    <w:rsid w:val="52E85BF0"/>
    <w:rsid w:val="53046AFB"/>
    <w:rsid w:val="535B046B"/>
    <w:rsid w:val="53606A73"/>
    <w:rsid w:val="536C1A2F"/>
    <w:rsid w:val="539228E0"/>
    <w:rsid w:val="53A2626F"/>
    <w:rsid w:val="53C21821"/>
    <w:rsid w:val="5433333A"/>
    <w:rsid w:val="543472F5"/>
    <w:rsid w:val="543751F4"/>
    <w:rsid w:val="544F5178"/>
    <w:rsid w:val="5452454D"/>
    <w:rsid w:val="545675AD"/>
    <w:rsid w:val="547B7F45"/>
    <w:rsid w:val="54E44D1D"/>
    <w:rsid w:val="54EE2311"/>
    <w:rsid w:val="55042658"/>
    <w:rsid w:val="55075EE9"/>
    <w:rsid w:val="554D5DCC"/>
    <w:rsid w:val="55690349"/>
    <w:rsid w:val="55AB39F7"/>
    <w:rsid w:val="55B1115C"/>
    <w:rsid w:val="55BF06DC"/>
    <w:rsid w:val="56302186"/>
    <w:rsid w:val="564B0152"/>
    <w:rsid w:val="567663BD"/>
    <w:rsid w:val="567D3741"/>
    <w:rsid w:val="56924C92"/>
    <w:rsid w:val="56A95219"/>
    <w:rsid w:val="56F37467"/>
    <w:rsid w:val="57052FB8"/>
    <w:rsid w:val="570A50DF"/>
    <w:rsid w:val="57197AFD"/>
    <w:rsid w:val="572162AB"/>
    <w:rsid w:val="572A2D62"/>
    <w:rsid w:val="5764586D"/>
    <w:rsid w:val="576526C9"/>
    <w:rsid w:val="578D4452"/>
    <w:rsid w:val="57B62C8B"/>
    <w:rsid w:val="57CF426E"/>
    <w:rsid w:val="57DB3D22"/>
    <w:rsid w:val="57EC5314"/>
    <w:rsid w:val="580370F2"/>
    <w:rsid w:val="58473E15"/>
    <w:rsid w:val="585578D3"/>
    <w:rsid w:val="5891480B"/>
    <w:rsid w:val="58D604D5"/>
    <w:rsid w:val="58F05A3F"/>
    <w:rsid w:val="58F168AF"/>
    <w:rsid w:val="59071D0A"/>
    <w:rsid w:val="59411389"/>
    <w:rsid w:val="5941680B"/>
    <w:rsid w:val="59B067DC"/>
    <w:rsid w:val="59B631A7"/>
    <w:rsid w:val="59D54A77"/>
    <w:rsid w:val="59DA0646"/>
    <w:rsid w:val="59DD54D1"/>
    <w:rsid w:val="5A20128C"/>
    <w:rsid w:val="5A4A7136"/>
    <w:rsid w:val="5A5058FA"/>
    <w:rsid w:val="5A645084"/>
    <w:rsid w:val="5AA13E12"/>
    <w:rsid w:val="5AAD22EA"/>
    <w:rsid w:val="5AC96003"/>
    <w:rsid w:val="5ACA0821"/>
    <w:rsid w:val="5B2D4C32"/>
    <w:rsid w:val="5B5A2719"/>
    <w:rsid w:val="5B656A2F"/>
    <w:rsid w:val="5BC84510"/>
    <w:rsid w:val="5BD77E29"/>
    <w:rsid w:val="5BD853F3"/>
    <w:rsid w:val="5BE11731"/>
    <w:rsid w:val="5CA87E31"/>
    <w:rsid w:val="5CC54095"/>
    <w:rsid w:val="5CC61935"/>
    <w:rsid w:val="5D351EBC"/>
    <w:rsid w:val="5D6F110A"/>
    <w:rsid w:val="5D86392C"/>
    <w:rsid w:val="5D9404F4"/>
    <w:rsid w:val="5DBC1594"/>
    <w:rsid w:val="5DE57E3D"/>
    <w:rsid w:val="5E1B79D1"/>
    <w:rsid w:val="5E201FCC"/>
    <w:rsid w:val="5E8B18F5"/>
    <w:rsid w:val="5E9973B7"/>
    <w:rsid w:val="5EB071B3"/>
    <w:rsid w:val="5EB81144"/>
    <w:rsid w:val="5EBA3A0B"/>
    <w:rsid w:val="5EC1771B"/>
    <w:rsid w:val="5ED644FD"/>
    <w:rsid w:val="5EED4A29"/>
    <w:rsid w:val="5EF94F47"/>
    <w:rsid w:val="5F362073"/>
    <w:rsid w:val="5F4C2BAA"/>
    <w:rsid w:val="5F6D651E"/>
    <w:rsid w:val="5F823032"/>
    <w:rsid w:val="5F943988"/>
    <w:rsid w:val="5FFC76E7"/>
    <w:rsid w:val="60017462"/>
    <w:rsid w:val="600C706D"/>
    <w:rsid w:val="602F27FD"/>
    <w:rsid w:val="60533983"/>
    <w:rsid w:val="60545226"/>
    <w:rsid w:val="60C97C68"/>
    <w:rsid w:val="612E255E"/>
    <w:rsid w:val="613868D6"/>
    <w:rsid w:val="6184335A"/>
    <w:rsid w:val="61BE3CA4"/>
    <w:rsid w:val="61CB281C"/>
    <w:rsid w:val="61EC4F4E"/>
    <w:rsid w:val="62011749"/>
    <w:rsid w:val="6251706B"/>
    <w:rsid w:val="62874718"/>
    <w:rsid w:val="62A400DC"/>
    <w:rsid w:val="62C02EA2"/>
    <w:rsid w:val="62C3573F"/>
    <w:rsid w:val="62E44B9D"/>
    <w:rsid w:val="62FF459E"/>
    <w:rsid w:val="63047FDF"/>
    <w:rsid w:val="6311014D"/>
    <w:rsid w:val="63266425"/>
    <w:rsid w:val="63620385"/>
    <w:rsid w:val="637C55A3"/>
    <w:rsid w:val="639377CF"/>
    <w:rsid w:val="63B313E1"/>
    <w:rsid w:val="643A27D2"/>
    <w:rsid w:val="643D74A9"/>
    <w:rsid w:val="648F09C5"/>
    <w:rsid w:val="64AC1C3F"/>
    <w:rsid w:val="64B55245"/>
    <w:rsid w:val="64CE5F7A"/>
    <w:rsid w:val="64DB144A"/>
    <w:rsid w:val="64F022D6"/>
    <w:rsid w:val="64F10E2D"/>
    <w:rsid w:val="651F0A8C"/>
    <w:rsid w:val="65AD1A80"/>
    <w:rsid w:val="65FB40A9"/>
    <w:rsid w:val="6604766B"/>
    <w:rsid w:val="66344129"/>
    <w:rsid w:val="663836ED"/>
    <w:rsid w:val="66C75021"/>
    <w:rsid w:val="66CD0C67"/>
    <w:rsid w:val="66D570FF"/>
    <w:rsid w:val="6740287B"/>
    <w:rsid w:val="6743303B"/>
    <w:rsid w:val="677B395E"/>
    <w:rsid w:val="677B668E"/>
    <w:rsid w:val="677F3C42"/>
    <w:rsid w:val="67A27ACE"/>
    <w:rsid w:val="67B821D5"/>
    <w:rsid w:val="67C43A6B"/>
    <w:rsid w:val="67F337BF"/>
    <w:rsid w:val="68013DA4"/>
    <w:rsid w:val="680C373B"/>
    <w:rsid w:val="681C3B88"/>
    <w:rsid w:val="682E3203"/>
    <w:rsid w:val="68432D58"/>
    <w:rsid w:val="68594CD2"/>
    <w:rsid w:val="685D24E8"/>
    <w:rsid w:val="68752236"/>
    <w:rsid w:val="6876710C"/>
    <w:rsid w:val="688F5CE2"/>
    <w:rsid w:val="6949126A"/>
    <w:rsid w:val="694D0A3E"/>
    <w:rsid w:val="696E3B20"/>
    <w:rsid w:val="69B13E7C"/>
    <w:rsid w:val="69BE021B"/>
    <w:rsid w:val="69C25053"/>
    <w:rsid w:val="69C66AFD"/>
    <w:rsid w:val="69D3740B"/>
    <w:rsid w:val="6A3B5105"/>
    <w:rsid w:val="6A3C563E"/>
    <w:rsid w:val="6A60637C"/>
    <w:rsid w:val="6A6C0F03"/>
    <w:rsid w:val="6A957D1D"/>
    <w:rsid w:val="6AB2063F"/>
    <w:rsid w:val="6AB44E7A"/>
    <w:rsid w:val="6AC64F80"/>
    <w:rsid w:val="6B130CC8"/>
    <w:rsid w:val="6B397B90"/>
    <w:rsid w:val="6B633EEB"/>
    <w:rsid w:val="6B9D1EE3"/>
    <w:rsid w:val="6BCF5ED8"/>
    <w:rsid w:val="6BE0547D"/>
    <w:rsid w:val="6BF82FB3"/>
    <w:rsid w:val="6C087A70"/>
    <w:rsid w:val="6C263805"/>
    <w:rsid w:val="6C436039"/>
    <w:rsid w:val="6C546630"/>
    <w:rsid w:val="6C6067F2"/>
    <w:rsid w:val="6C713891"/>
    <w:rsid w:val="6C937043"/>
    <w:rsid w:val="6CA36174"/>
    <w:rsid w:val="6CCE4817"/>
    <w:rsid w:val="6CE767A6"/>
    <w:rsid w:val="6D277390"/>
    <w:rsid w:val="6D3E34C5"/>
    <w:rsid w:val="6D4F6E13"/>
    <w:rsid w:val="6D72029E"/>
    <w:rsid w:val="6DC429AA"/>
    <w:rsid w:val="6DCF1B6D"/>
    <w:rsid w:val="6DF242FB"/>
    <w:rsid w:val="6DFB4FAE"/>
    <w:rsid w:val="6E051B3D"/>
    <w:rsid w:val="6E200866"/>
    <w:rsid w:val="6E511682"/>
    <w:rsid w:val="6E977E6D"/>
    <w:rsid w:val="6EBA29DC"/>
    <w:rsid w:val="6ECA2303"/>
    <w:rsid w:val="6EED5EF2"/>
    <w:rsid w:val="6F21595E"/>
    <w:rsid w:val="6F2A6E9D"/>
    <w:rsid w:val="6F5301CC"/>
    <w:rsid w:val="6F567AAB"/>
    <w:rsid w:val="6F66705C"/>
    <w:rsid w:val="6F702215"/>
    <w:rsid w:val="6F744F33"/>
    <w:rsid w:val="6F8F1A5C"/>
    <w:rsid w:val="6FEF12B7"/>
    <w:rsid w:val="701A6071"/>
    <w:rsid w:val="70B22943"/>
    <w:rsid w:val="70D2369A"/>
    <w:rsid w:val="70FE2956"/>
    <w:rsid w:val="71661093"/>
    <w:rsid w:val="71731380"/>
    <w:rsid w:val="717B551D"/>
    <w:rsid w:val="71892BF1"/>
    <w:rsid w:val="71995FBD"/>
    <w:rsid w:val="71B624E4"/>
    <w:rsid w:val="71BE6933"/>
    <w:rsid w:val="71CC65AE"/>
    <w:rsid w:val="71DB3EA5"/>
    <w:rsid w:val="71F260FC"/>
    <w:rsid w:val="721615B7"/>
    <w:rsid w:val="72736F60"/>
    <w:rsid w:val="72A20032"/>
    <w:rsid w:val="72D276D0"/>
    <w:rsid w:val="72DE3ED5"/>
    <w:rsid w:val="72EC50B2"/>
    <w:rsid w:val="734674A6"/>
    <w:rsid w:val="7352422C"/>
    <w:rsid w:val="73B96CB8"/>
    <w:rsid w:val="73BD7034"/>
    <w:rsid w:val="74173D19"/>
    <w:rsid w:val="745B398B"/>
    <w:rsid w:val="7465523E"/>
    <w:rsid w:val="74A7575A"/>
    <w:rsid w:val="74B2634B"/>
    <w:rsid w:val="74D35B5B"/>
    <w:rsid w:val="74F75B16"/>
    <w:rsid w:val="750E2D4B"/>
    <w:rsid w:val="75104A1D"/>
    <w:rsid w:val="754F56BE"/>
    <w:rsid w:val="75646FA6"/>
    <w:rsid w:val="75DE44A9"/>
    <w:rsid w:val="75E803E1"/>
    <w:rsid w:val="7603521D"/>
    <w:rsid w:val="7638599A"/>
    <w:rsid w:val="766648BB"/>
    <w:rsid w:val="76797780"/>
    <w:rsid w:val="76813793"/>
    <w:rsid w:val="768F0827"/>
    <w:rsid w:val="76936B80"/>
    <w:rsid w:val="7695501D"/>
    <w:rsid w:val="76BE2EFE"/>
    <w:rsid w:val="76C874C0"/>
    <w:rsid w:val="76E84D1D"/>
    <w:rsid w:val="772F0D3C"/>
    <w:rsid w:val="77893744"/>
    <w:rsid w:val="778F640E"/>
    <w:rsid w:val="77C713A9"/>
    <w:rsid w:val="77D04483"/>
    <w:rsid w:val="77D44CB7"/>
    <w:rsid w:val="77DF5682"/>
    <w:rsid w:val="780336ED"/>
    <w:rsid w:val="7857243B"/>
    <w:rsid w:val="788373AB"/>
    <w:rsid w:val="789970BA"/>
    <w:rsid w:val="78BC7235"/>
    <w:rsid w:val="79670001"/>
    <w:rsid w:val="79BA74CA"/>
    <w:rsid w:val="79D03E83"/>
    <w:rsid w:val="7A1847AC"/>
    <w:rsid w:val="7A5263D5"/>
    <w:rsid w:val="7A900DC8"/>
    <w:rsid w:val="7AAD6F0A"/>
    <w:rsid w:val="7ABF1685"/>
    <w:rsid w:val="7AF554AE"/>
    <w:rsid w:val="7B131EA1"/>
    <w:rsid w:val="7B141ABE"/>
    <w:rsid w:val="7BC00ABD"/>
    <w:rsid w:val="7BF22686"/>
    <w:rsid w:val="7C0B2750"/>
    <w:rsid w:val="7C0B7588"/>
    <w:rsid w:val="7C807946"/>
    <w:rsid w:val="7C930015"/>
    <w:rsid w:val="7C9625CE"/>
    <w:rsid w:val="7CA01BC2"/>
    <w:rsid w:val="7CC66AB4"/>
    <w:rsid w:val="7CCB24A9"/>
    <w:rsid w:val="7CDC0A91"/>
    <w:rsid w:val="7D185280"/>
    <w:rsid w:val="7D6D7BC8"/>
    <w:rsid w:val="7DA72917"/>
    <w:rsid w:val="7DAD0CE0"/>
    <w:rsid w:val="7DB61D07"/>
    <w:rsid w:val="7DC21168"/>
    <w:rsid w:val="7DCA5CFF"/>
    <w:rsid w:val="7DCB5FD5"/>
    <w:rsid w:val="7DE459DF"/>
    <w:rsid w:val="7E593D72"/>
    <w:rsid w:val="7E9661D4"/>
    <w:rsid w:val="7ECE1798"/>
    <w:rsid w:val="7EF35756"/>
    <w:rsid w:val="7F0529B9"/>
    <w:rsid w:val="7F326840"/>
    <w:rsid w:val="7F350915"/>
    <w:rsid w:val="7F3A761A"/>
    <w:rsid w:val="7F6B5C95"/>
    <w:rsid w:val="7F720FDB"/>
    <w:rsid w:val="7F725BE7"/>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0</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2018-09-28T09:23:36Z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